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8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811"/>
        <w:gridCol w:w="5245"/>
        <w:gridCol w:w="160"/>
      </w:tblGrid>
      <w:tr>
        <w:trPr>
          <w:trHeight w:val="450" w:hRule="atLeast"/>
        </w:trPr>
        <w:tc>
          <w:tcPr>
            <w:tcW w:w="10623" w:type="dxa"/>
            <w:gridSpan w:val="3"/>
            <w:vMerge w:val="restart"/>
            <w:tcBorders/>
            <w:shd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160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623" w:type="dxa"/>
            <w:gridSpan w:val="3"/>
            <w:vMerge w:val="continue"/>
            <w:tcBorders/>
            <w:shd w:fill="2F5597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3"/>
            <w:vMerge w:val="continue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bookmarkStart w:id="0" w:name="RANGE!C9"/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"../../../../E:%5C%5C%C5%A0ablony%20akredit%C3%A1cia%5C%5C4_VTC.xlsx"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bottom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3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doc., ThDr., Th. D., Dr. h. c.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I., II. a III. stupeň/ Social Work  I. II.and III. degree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"Expl.OCA6!A1"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bidi w:val="0"/>
              <w:rPr/>
            </w:pPr>
            <w:bookmarkStart w:id="1" w:name="page3R_mcid64"/>
            <w:bookmarkEnd w:id="1"/>
            <w:r>
              <w:rPr>
                <w:rFonts w:cs="Calibri" w:ascii="sans-serif" w:hAnsi="sans-serif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professional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  <w:r>
              <w:rPr>
                <w:rFonts w:cs="Calibri" w:ascii="sans-serif" w:hAnsi="sans-serif"/>
                <w:sz w:val="13"/>
                <w:szCs w:val="16"/>
              </w:rPr>
              <w:t>pedagogický výstup / pedagogical outpu</w:t>
            </w:r>
            <w:r>
              <w:rPr>
                <w:rFonts w:cs="Calibri"/>
                <w:sz w:val="16"/>
                <w:szCs w:val="16"/>
              </w:rPr>
              <w:t>t</w:t>
            </w:r>
          </w:p>
          <w:p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1999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Style w:val="ListLabel2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ISBN 80-7184-789-5 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2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Internetovodkaz"/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rStyle w:val="ListLabel2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2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  <w:r>
              <w:rPr>
                <w:rStyle w:val="ListLabel2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https://cuni.cz/UK-544.html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Teologická propedeutika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.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Praha.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Karolinum - Univerzita Karlova,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1999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.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– ISBN 80-7184-789-5 </w:t>
            </w:r>
          </w:p>
          <w:p>
            <w:pPr>
              <w:pStyle w:val="Normal"/>
              <w:shd w:fill="FFFFFF" w:val="clear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1</w:t>
            </w:r>
          </w:p>
          <w:p>
            <w:pPr>
              <w:pStyle w:val="Normal"/>
              <w:shd w:fill="FFFFFF" w:val="clear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"Expl.OCA12!A1"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učební text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https://www.google.com/search?sa=N&amp;source=univ&amp;tbm=isch&amp;q=teologick%C3%A1+propedeutika+tonzar&amp;client=firefox-b-d&amp;fir=iR12j8oWGIEsBM%252CLLZGWTfzhzjbJM%252C_%253Bqv8yHXveX8u99M%252CIzC860vMo_R24M%252C_%253BndGZs-i4rjND6M%252Ch57eGdkImdQYWM%252C_%253BEQ5S6zM8qcDYGM%252CsSR35E6jiQYAZM%252C_%253BY9WVOnvsAomOiM%252Ch57eGdkImdQYWM%252C_%253BAjxud8un4RlH9M%252CG7yyxtu-hkb1gM%252C_%253BCE9F9Y4eZ4elIM%252CAfKRegboTETbJM%252C_%253BcXp1VjChq5WeGM%252CPR_6cJIShY7R8M%252C_%253BQdXPCn1zlAlmpM%252CLVf-0oyXNFhqSM%252C_%253BS8KF9tiVILA3EM%252C1HxstzhJsZowGM%252C_&amp;usg=AI4_-kTJTrRbAobgzxsyyzf5BFvB_zv5XA&amp;ved=2ahUKEwiatoytrfv6AhVsxwIHHXFVCKUQ7Al6BAgrEA8&amp;biw=1280&amp;bih=567&amp;dpr=1.5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Podiel autor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100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author´ś contribution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David Tonzar 100%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40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tcBorders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words in English 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Publikace se zabývá otázkami systematické, praktické a biblické teologie jako předpokladu pro sociální práci - charitativní práci.</w:t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rStyle w:val="ListLabel3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Style w:val="ListLabel3"/>
                <w:vertAlign w:val="superscript"/>
                <w:sz w:val="16"/>
                <w:szCs w:val="16"/>
                <w:rFonts w:eastAsia="Times New Roman" w:cs="Calibri"/>
              </w:rPr>
              <w:fldChar w:fldCharType="end"/>
            </w:r>
            <w:r>
              <w:fldChar w:fldCharType="begin"/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instrText> HYPERLINK "../../../../E:%5C%C5%A0ablony%20akredit%C3%A1cia%5C4_VTC.xlsx" \l "'poznamky_explanatory notes'!A1"</w:instrTex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separate"/>
            </w:r>
            <w:r>
              <w:rPr>
                <w:rStyle w:val="ListLabel3"/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  <w:r>
              <w:rPr>
                <w:rStyle w:val="ListLabel3"/>
                <w:sz w:val="16"/>
                <w:i/>
                <w:szCs w:val="16"/>
                <w:iCs/>
                <w:rFonts w:eastAsia="Times New Roman" w:cs="Calibri"/>
              </w:rPr>
              <w:fldChar w:fldCharType="end"/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Martin Zimmer, Přemysl Víška, Gabriela Mielniczková. </w:t>
            </w:r>
            <w:r>
              <w:rPr>
                <w:rStyle w:val="Zdraznn"/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CÍRKEV ČESKOSLOVENSKÁ HUSITSKÁ - NASTUPUJÍCÍ GENERACE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. Hospodářská a kulturní studia, Provozně ekonomická fakulta ČZU v Praze, 2011. 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Nytrová. Olga. PhDr.  Dialog na cestě. cit. 23. 10. 2022 na: https://www.dialognaceste.cz/clenove-a-hoste/cv-clenove-a-hoste/1416-tonzar-2.html</w:t>
            </w:r>
          </w:p>
          <w:p>
            <w:pPr>
              <w:pStyle w:val="Normal"/>
              <w:spacing w:before="0" w:after="0"/>
              <w:rPr>
                <w:rFonts w:ascii="Trebuchet MS" w:hAnsi="Trebuchet MS" w:eastAsia="SimSun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Butta. Tomáš. ThDr. Th. D. Úvod do homiletiky. Praha. Blahoslav. 2019.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fill="F8F9FA" w:val="clear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U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čební text seznamující studenty se základní strukturou teologických disciplin jako základu pro naplnění předpokladu pro dobrou práci především praktické teologie, sociální teologie i pro pomáhající profese.</w:t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Učební text pro úvod do studia teologie s přesahem na biblické základy sociální práce.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Studenty sociální práce seznamuje v rámci interdisciplinárního dialogu s teologickým základem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vhodným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pro pomáhající profese s přesahem do pastorační práce - poimeniky jako jednoho z pilířů pro předměty Teorie sociální práce a Základy sociální práce.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sans-serif">
    <w:altName w:val="Arial"/>
    <w:charset w:val="ee"/>
    <w:family w:val="auto"/>
    <w:pitch w:val="default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sk-SK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/>
      <w:color w:val="auto"/>
      <w:kern w:val="0"/>
      <w:sz w:val="22"/>
      <w:szCs w:val="22"/>
      <w:lang w:val="sk-SK" w:eastAsia="en-US" w:bidi="ar-SA"/>
    </w:rPr>
  </w:style>
  <w:style w:type="character" w:styleId="DefaultParagraphFont">
    <w:name w:val="Default Paragraph Font"/>
    <w:qFormat/>
    <w:rPr/>
  </w:style>
  <w:style w:type="character" w:styleId="TextpoznmkypodiarouChar">
    <w:name w:val="Text poznámky pod čiarou Char"/>
    <w:basedOn w:val="DefaultParagraphFont"/>
    <w:qFormat/>
    <w:rPr>
      <w:sz w:val="20"/>
      <w:szCs w:val="20"/>
    </w:rPr>
  </w:style>
  <w:style w:type="character" w:styleId="PredformtovanHTMLChar">
    <w:name w:val="Predformátované HTML Char"/>
    <w:basedOn w:val="DefaultParagraphFont"/>
    <w:qFormat/>
    <w:rPr>
      <w:rFonts w:ascii="SimSun" w:hAnsi="SimSun" w:eastAsia="SimSun" w:cs="Times New Roman"/>
      <w:sz w:val="24"/>
      <w:szCs w:val="24"/>
      <w:lang w:val="en-US" w:eastAsia="zh-CN"/>
    </w:rPr>
  </w:style>
  <w:style w:type="character" w:styleId="Internetovodkaz">
    <w:name w:val="Internetový odkaz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Zdraznn">
    <w:name w:val="Zdůraznění"/>
    <w:qFormat/>
    <w:rPr>
      <w:i/>
      <w:iCs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Poznmkapodarou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SimSun" w:hAnsi="SimSu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Normlny1">
    <w:name w:val="Normálny1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eastAsia="sk-SK" w:val="sk-SK" w:bidi="ar-SA"/>
    </w:rPr>
  </w:style>
  <w:style w:type="paragraph" w:styleId="Obsahtabulky">
    <w:name w:val="Obsah tabulky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LibreOffice/6.2.1.2$Windows_X86_64 LibreOffice_project/7bcb35dc3024a62dea0caee87020152d1ee96e71</Application>
  <Pages>2</Pages>
  <Words>844</Words>
  <Characters>5511</Characters>
  <CharactersWithSpaces>6331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2022-08-02T17:07:00Z</dcterms:created>
  <dc:creator>Libusa Radkova</dc:creator>
  <dc:description/>
  <dc:language>cs-CZ</dc:language>
  <cp:lastModifiedBy/>
  <dcterms:modified xsi:type="dcterms:W3CDTF">2022-10-25T14:32:18Z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